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DD2" w:rsidRDefault="00945DD2" w:rsidP="00945DD2">
      <w:pPr>
        <w:jc w:val="center"/>
      </w:pPr>
    </w:p>
    <w:p w:rsidR="00945DD2" w:rsidRDefault="00945DD2" w:rsidP="00945DD2">
      <w:pPr>
        <w:jc w:val="center"/>
      </w:pPr>
    </w:p>
    <w:p w:rsidR="00945DD2" w:rsidRDefault="00945DD2" w:rsidP="00945DD2">
      <w:pPr>
        <w:jc w:val="center"/>
      </w:pPr>
    </w:p>
    <w:p w:rsidR="00945DD2" w:rsidRDefault="00945DD2" w:rsidP="00945DD2">
      <w:pPr>
        <w:jc w:val="center"/>
      </w:pPr>
    </w:p>
    <w:p w:rsidR="00FF6429" w:rsidRDefault="00945DD2" w:rsidP="00945DD2">
      <w:pPr>
        <w:jc w:val="center"/>
      </w:pPr>
      <w:r>
        <w:t>Part A</w:t>
      </w:r>
    </w:p>
    <w:p w:rsidR="00945DD2" w:rsidRDefault="00945DD2" w:rsidP="00945DD2">
      <w:pPr>
        <w:jc w:val="center"/>
      </w:pPr>
      <w:r>
        <w:t>Student’s Name</w:t>
      </w:r>
    </w:p>
    <w:p w:rsidR="00945DD2" w:rsidRDefault="00945DD2" w:rsidP="00945DD2">
      <w:pPr>
        <w:jc w:val="center"/>
      </w:pPr>
      <w:r>
        <w:t>Student’s ID Number</w:t>
      </w:r>
    </w:p>
    <w:p w:rsidR="00945DD2" w:rsidRDefault="00945DD2" w:rsidP="00945DD2">
      <w:pPr>
        <w:jc w:val="center"/>
      </w:pPr>
      <w:r>
        <w:t>Student’s Exam Number</w:t>
      </w:r>
    </w:p>
    <w:p w:rsidR="00945DD2" w:rsidRDefault="00945DD2" w:rsidP="00945DD2">
      <w:pPr>
        <w:jc w:val="center"/>
      </w:pPr>
      <w:r>
        <w:t>Student’s Email Address</w:t>
      </w:r>
    </w:p>
    <w:p w:rsidR="00945DD2" w:rsidRDefault="00945DD2">
      <w:pPr>
        <w:spacing w:line="276" w:lineRule="auto"/>
      </w:pPr>
      <w:r>
        <w:br w:type="page"/>
      </w:r>
    </w:p>
    <w:p w:rsidR="00945DD2" w:rsidRDefault="00945DD2" w:rsidP="00945DD2">
      <w:pPr>
        <w:jc w:val="center"/>
      </w:pPr>
      <w:r>
        <w:lastRenderedPageBreak/>
        <w:t>Part A</w:t>
      </w:r>
    </w:p>
    <w:p w:rsidR="00945DD2" w:rsidRDefault="00945DD2" w:rsidP="00945DD2">
      <w:r>
        <w:t>Ans. 1</w:t>
      </w:r>
    </w:p>
    <w:p w:rsidR="00945DD2" w:rsidRDefault="00945DD2" w:rsidP="00945DD2">
      <w:pPr>
        <w:ind w:firstLine="720"/>
      </w:pPr>
      <w:r>
        <w:t>There are four primary levels of prison security levels within the United States of America. The first one is the supermax prison security level. A supermax prison refers to a control unit prison representing highly secure levels of custody within prison systems. It is used to provide long-term isolated housing for inmates categorized as the highest security risk within prisons as well as those who may pose an extreme danger to national along with global security.</w:t>
      </w:r>
    </w:p>
    <w:p w:rsidR="00945DD2" w:rsidRDefault="00945DD2" w:rsidP="00945DD2">
      <w:pPr>
        <w:ind w:firstLine="720"/>
      </w:pPr>
      <w:r>
        <w:t>The maximum prison security level is the highest, as well as the strictest of all the prison security levels in the country. Within this maximum-security prison, only the most violent offenders become incarcerated. It has diverse sub-units encompassing solitary confinement, protective custody along with special housing units. Usually, maximum security prisoners become confined within their cells for a period of 23 hours daily, and they are strictly monitored. The medium prison security level has large residence halls where over 70 prisoners are housed within large bunked sleeping quarters and group toilet facilities. Medium security prisoners are assigned work assignments. Hence they spend some time out of their cells. The minimum prison security level has large dormitories that house prisoners. The prisoners in the corrections are considered to pose the lowest risk to the public.</w:t>
      </w:r>
    </w:p>
    <w:p w:rsidR="00945DD2" w:rsidRDefault="00945DD2" w:rsidP="00945DD2">
      <w:r>
        <w:t>Ans. 2</w:t>
      </w:r>
    </w:p>
    <w:p w:rsidR="00945DD2" w:rsidRDefault="00945DD2" w:rsidP="00945DD2">
      <w:pPr>
        <w:ind w:firstLine="720"/>
      </w:pPr>
      <w:r>
        <w:t>The private security industry is vast, like the public security industry. However, it is less regulated. It faces diverse challenges. Foremost, abuse of authority is apparent. Private prisons have been meted with harsh criticism concerning the protection of guards and wardens who are continually being attacked by inmates</w:t>
      </w:r>
      <w:r w:rsidR="00B74285" w:rsidRPr="00B74285">
        <w:rPr>
          <w:rFonts w:eastAsia="Times New Roman" w:cs="Times New Roman"/>
          <w:szCs w:val="24"/>
        </w:rPr>
        <w:t xml:space="preserve"> </w:t>
      </w:r>
      <w:r w:rsidR="00B74285">
        <w:rPr>
          <w:rFonts w:eastAsia="Times New Roman" w:cs="Times New Roman"/>
          <w:szCs w:val="24"/>
        </w:rPr>
        <w:t>(Gaes, 2019)</w:t>
      </w:r>
      <w:r>
        <w:t xml:space="preserve">. They have become criticized for not </w:t>
      </w:r>
      <w:r>
        <w:lastRenderedPageBreak/>
        <w:t>offering security guards and their wardens. Secondly, the private facilities have been considered to be more concerned with making profits while disregarding the lives of its staff.  For instance, the staff is provided with fewer hours of training as well as low payments. This is an issue that made private prisons be</w:t>
      </w:r>
      <w:r w:rsidR="00B74285">
        <w:t>come accused of p</w:t>
      </w:r>
      <w:r>
        <w:t xml:space="preserve">aying little attention in enhancing the livelihoods of its staff. Besides, firearm training is rare within private prison facilities. Thirdly, private prisons lack public complaint channels to be able to ensure that they become acquainted with reporting of incidents and actions become taken accordingly.  </w:t>
      </w:r>
    </w:p>
    <w:p w:rsidR="00945DD2" w:rsidRDefault="00945DD2" w:rsidP="00945DD2">
      <w:pPr>
        <w:ind w:firstLine="720"/>
      </w:pPr>
      <w:r>
        <w:t>Fourthly, managers and directors are usually unlicensed, which contravenes the required of registering organizations. Some of the managers and directors have questionable academic qualifications as the private prison industry is unregulated.  Fifthly, private facilities are poorly maintained as the inmates are not safely housed – dormitories are unkempt and untidy. Tellingly, private prisons pose higher security risks to health prisoners.</w:t>
      </w:r>
    </w:p>
    <w:p w:rsidR="00945DD2" w:rsidRDefault="00945DD2" w:rsidP="00945DD2">
      <w:r>
        <w:t>Ans. 3</w:t>
      </w:r>
    </w:p>
    <w:p w:rsidR="00945DD2" w:rsidRDefault="00945DD2" w:rsidP="00945DD2">
      <w:pPr>
        <w:ind w:firstLine="720"/>
      </w:pPr>
      <w:r>
        <w:t>Demographic factors that affect a person’s fear of crime include gender, age, race, region, income, religion, politics, as well as education</w:t>
      </w:r>
      <w:r w:rsidR="00B74285" w:rsidRPr="00B74285">
        <w:rPr>
          <w:rFonts w:eastAsia="Times New Roman" w:cs="Times New Roman"/>
          <w:szCs w:val="24"/>
        </w:rPr>
        <w:t xml:space="preserve"> </w:t>
      </w:r>
      <w:r w:rsidR="00B74285">
        <w:rPr>
          <w:rFonts w:eastAsia="Times New Roman" w:cs="Times New Roman"/>
          <w:szCs w:val="24"/>
        </w:rPr>
        <w:t>(Chadee et al., 2019)</w:t>
      </w:r>
      <w:r>
        <w:t xml:space="preserve">.  One’s gender may determine his or her fear of crime. Typically, women fear to go to places they will be exposed to harm. Most men are the instigators of criminal behavior in society. Generally, men feel that by being masculine, they can cause harm to others, especially women. Age also determines the fear of crime in a person. For instance, young children feel that they are at risk of being attacked by aggressive individuals such as older adults. Thus they tend to be in the company of their parents and older siblings. The race is a demographic factor that brings about the fear of crime. This is seen when a person of a different race lives among those of other races. He or she may become </w:t>
      </w:r>
      <w:r>
        <w:lastRenderedPageBreak/>
        <w:t>discriminated against, and criminal intentions are meted on him or her. Regions that are prevalent with criminal activities may make a person develop a fear of crime. Besides, a person with a high income may fear for crime as criminals can attack him or her. Religions reshape one’s ability to loathe criminal intentions and develop a fear of crime. Countries with political instability can make an individual evade going to such countries for fear of being victimized. A well-educated individual can make informed decisions such as not engaging in crime and fear being a victim of crime.</w:t>
      </w: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E319AC" w:rsidRDefault="00E319AC" w:rsidP="00945DD2">
      <w:pPr>
        <w:jc w:val="center"/>
      </w:pPr>
    </w:p>
    <w:p w:rsidR="00945DD2" w:rsidRDefault="00AD6FC6" w:rsidP="00945DD2">
      <w:pPr>
        <w:jc w:val="center"/>
      </w:pPr>
      <w:r>
        <w:lastRenderedPageBreak/>
        <w:t>References</w:t>
      </w:r>
    </w:p>
    <w:p w:rsidR="00E319AC" w:rsidRPr="00B74285" w:rsidRDefault="00E319AC" w:rsidP="00B74285">
      <w:pPr>
        <w:spacing w:after="0"/>
        <w:ind w:left="720" w:hanging="720"/>
        <w:rPr>
          <w:rFonts w:eastAsia="Times New Roman" w:cs="Times New Roman"/>
          <w:szCs w:val="24"/>
        </w:rPr>
      </w:pPr>
      <w:r w:rsidRPr="00B74285">
        <w:rPr>
          <w:rFonts w:eastAsia="Times New Roman" w:cs="Times New Roman"/>
          <w:szCs w:val="24"/>
        </w:rPr>
        <w:t xml:space="preserve">Chadee, D., Ng Ying, N. K., Chadee, M., &amp; Heath, L. (2019). Fear of crime: the influence of general fear, risk, and time perspective. </w:t>
      </w:r>
      <w:r w:rsidRPr="00B74285">
        <w:rPr>
          <w:rFonts w:eastAsia="Times New Roman" w:cs="Times New Roman"/>
          <w:i/>
          <w:iCs/>
          <w:szCs w:val="24"/>
        </w:rPr>
        <w:t>Journal of interpersonal violence</w:t>
      </w:r>
      <w:r w:rsidRPr="00B74285">
        <w:rPr>
          <w:rFonts w:eastAsia="Times New Roman" w:cs="Times New Roman"/>
          <w:szCs w:val="24"/>
        </w:rPr>
        <w:t xml:space="preserve">, </w:t>
      </w:r>
      <w:r w:rsidRPr="00B74285">
        <w:rPr>
          <w:rFonts w:eastAsia="Times New Roman" w:cs="Times New Roman"/>
          <w:i/>
          <w:iCs/>
          <w:szCs w:val="24"/>
        </w:rPr>
        <w:t>34</w:t>
      </w:r>
      <w:r w:rsidRPr="00B74285">
        <w:rPr>
          <w:rFonts w:eastAsia="Times New Roman" w:cs="Times New Roman"/>
          <w:szCs w:val="24"/>
        </w:rPr>
        <w:t>(6), 1224-1246.</w:t>
      </w:r>
    </w:p>
    <w:p w:rsidR="00E319AC" w:rsidRPr="00B74285" w:rsidRDefault="00E319AC" w:rsidP="00B74285">
      <w:pPr>
        <w:spacing w:after="0"/>
        <w:ind w:left="720" w:hanging="720"/>
        <w:rPr>
          <w:rFonts w:eastAsia="Times New Roman" w:cs="Times New Roman"/>
          <w:szCs w:val="24"/>
        </w:rPr>
      </w:pPr>
      <w:r w:rsidRPr="00B74285">
        <w:rPr>
          <w:rFonts w:eastAsia="Times New Roman" w:cs="Times New Roman"/>
          <w:szCs w:val="24"/>
        </w:rPr>
        <w:t xml:space="preserve">Gaes, G. G. (2019). Current status of prison privatization research on American prisons and jails. </w:t>
      </w:r>
      <w:r w:rsidRPr="00B74285">
        <w:rPr>
          <w:rFonts w:eastAsia="Times New Roman" w:cs="Times New Roman"/>
          <w:i/>
          <w:iCs/>
          <w:szCs w:val="24"/>
        </w:rPr>
        <w:t>Criminology &amp; Public Policy</w:t>
      </w:r>
      <w:r w:rsidRPr="00B74285">
        <w:rPr>
          <w:rFonts w:eastAsia="Times New Roman" w:cs="Times New Roman"/>
          <w:szCs w:val="24"/>
        </w:rPr>
        <w:t xml:space="preserve">, </w:t>
      </w:r>
      <w:r w:rsidRPr="00B74285">
        <w:rPr>
          <w:rFonts w:eastAsia="Times New Roman" w:cs="Times New Roman"/>
          <w:i/>
          <w:iCs/>
          <w:szCs w:val="24"/>
        </w:rPr>
        <w:t>18</w:t>
      </w:r>
      <w:r w:rsidRPr="00B74285">
        <w:rPr>
          <w:rFonts w:eastAsia="Times New Roman" w:cs="Times New Roman"/>
          <w:szCs w:val="24"/>
        </w:rPr>
        <w:t>(2), 269-293.</w:t>
      </w:r>
    </w:p>
    <w:p w:rsidR="00AD6FC6" w:rsidRPr="00945DD2" w:rsidRDefault="00AD6FC6" w:rsidP="00B74285">
      <w:pPr>
        <w:ind w:left="720" w:hanging="720"/>
        <w:jc w:val="center"/>
      </w:pPr>
    </w:p>
    <w:p w:rsidR="00B74285" w:rsidRPr="00945DD2" w:rsidRDefault="00B74285">
      <w:pPr>
        <w:ind w:left="720" w:hanging="720"/>
        <w:jc w:val="center"/>
      </w:pPr>
    </w:p>
    <w:sectPr w:rsidR="00B74285" w:rsidRPr="00945DD2" w:rsidSect="00945D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0EE" w:rsidRDefault="002550EE" w:rsidP="00945DD2">
      <w:pPr>
        <w:spacing w:after="0" w:line="240" w:lineRule="auto"/>
      </w:pPr>
      <w:r>
        <w:separator/>
      </w:r>
    </w:p>
  </w:endnote>
  <w:endnote w:type="continuationSeparator" w:id="1">
    <w:p w:rsidR="002550EE" w:rsidRDefault="002550EE" w:rsidP="00945D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0EE" w:rsidRDefault="002550EE" w:rsidP="00945DD2">
      <w:pPr>
        <w:spacing w:after="0" w:line="240" w:lineRule="auto"/>
      </w:pPr>
      <w:r>
        <w:separator/>
      </w:r>
    </w:p>
  </w:footnote>
  <w:footnote w:type="continuationSeparator" w:id="1">
    <w:p w:rsidR="002550EE" w:rsidRDefault="002550EE" w:rsidP="00945D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958467"/>
      <w:docPartObj>
        <w:docPartGallery w:val="Page Numbers (Top of Page)"/>
        <w:docPartUnique/>
      </w:docPartObj>
    </w:sdtPr>
    <w:sdtContent>
      <w:p w:rsidR="00945DD2" w:rsidRDefault="00945DD2">
        <w:pPr>
          <w:pStyle w:val="Header"/>
          <w:jc w:val="right"/>
        </w:pPr>
        <w:r>
          <w:t>PART A</w:t>
        </w:r>
        <w:r>
          <w:tab/>
        </w:r>
        <w:r>
          <w:tab/>
        </w:r>
        <w:fldSimple w:instr=" PAGE   \* MERGEFORMAT ">
          <w:r w:rsidR="00E319AC">
            <w:rPr>
              <w:noProof/>
            </w:rPr>
            <w:t>5</w:t>
          </w:r>
        </w:fldSimple>
      </w:p>
    </w:sdtContent>
  </w:sdt>
  <w:p w:rsidR="00945DD2" w:rsidRDefault="00945D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D2" w:rsidRDefault="00945DD2">
    <w:pPr>
      <w:pStyle w:val="Header"/>
    </w:pPr>
    <w:r>
      <w:t>Running Head: PART A</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C4B28"/>
    <w:rsid w:val="00020797"/>
    <w:rsid w:val="002550EE"/>
    <w:rsid w:val="002D25C0"/>
    <w:rsid w:val="004C4B28"/>
    <w:rsid w:val="007A4E67"/>
    <w:rsid w:val="0083796D"/>
    <w:rsid w:val="00841178"/>
    <w:rsid w:val="00945DD2"/>
    <w:rsid w:val="00A43A73"/>
    <w:rsid w:val="00AD6FC6"/>
    <w:rsid w:val="00B74285"/>
    <w:rsid w:val="00CC7EF4"/>
    <w:rsid w:val="00CE5C24"/>
    <w:rsid w:val="00E319AC"/>
    <w:rsid w:val="00F43DA9"/>
    <w:rsid w:val="00FF64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96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DD2"/>
    <w:rPr>
      <w:rFonts w:ascii="Times New Roman" w:hAnsi="Times New Roman"/>
      <w:sz w:val="24"/>
    </w:rPr>
  </w:style>
  <w:style w:type="paragraph" w:styleId="Footer">
    <w:name w:val="footer"/>
    <w:basedOn w:val="Normal"/>
    <w:link w:val="FooterChar"/>
    <w:uiPriority w:val="99"/>
    <w:semiHidden/>
    <w:unhideWhenUsed/>
    <w:rsid w:val="00945D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5DD2"/>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393159470">
      <w:bodyDiv w:val="1"/>
      <w:marLeft w:val="0"/>
      <w:marRight w:val="0"/>
      <w:marTop w:val="0"/>
      <w:marBottom w:val="0"/>
      <w:divBdr>
        <w:top w:val="none" w:sz="0" w:space="0" w:color="auto"/>
        <w:left w:val="none" w:sz="0" w:space="0" w:color="auto"/>
        <w:bottom w:val="none" w:sz="0" w:space="0" w:color="auto"/>
        <w:right w:val="none" w:sz="0" w:space="0" w:color="auto"/>
      </w:divBdr>
      <w:divsChild>
        <w:div w:id="345717725">
          <w:marLeft w:val="0"/>
          <w:marRight w:val="0"/>
          <w:marTop w:val="0"/>
          <w:marBottom w:val="0"/>
          <w:divBdr>
            <w:top w:val="none" w:sz="0" w:space="0" w:color="auto"/>
            <w:left w:val="none" w:sz="0" w:space="0" w:color="auto"/>
            <w:bottom w:val="none" w:sz="0" w:space="0" w:color="auto"/>
            <w:right w:val="none" w:sz="0" w:space="0" w:color="auto"/>
          </w:divBdr>
        </w:div>
      </w:divsChild>
    </w:div>
    <w:div w:id="1843162489">
      <w:bodyDiv w:val="1"/>
      <w:marLeft w:val="0"/>
      <w:marRight w:val="0"/>
      <w:marTop w:val="0"/>
      <w:marBottom w:val="0"/>
      <w:divBdr>
        <w:top w:val="none" w:sz="0" w:space="0" w:color="auto"/>
        <w:left w:val="none" w:sz="0" w:space="0" w:color="auto"/>
        <w:bottom w:val="none" w:sz="0" w:space="0" w:color="auto"/>
        <w:right w:val="none" w:sz="0" w:space="0" w:color="auto"/>
      </w:divBdr>
      <w:divsChild>
        <w:div w:id="277225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743</Words>
  <Characters>4005</Characters>
  <Application>Microsoft Office Word</Application>
  <DocSecurity>0</DocSecurity>
  <Lines>67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4</cp:revision>
  <dcterms:created xsi:type="dcterms:W3CDTF">2020-04-15T09:24:00Z</dcterms:created>
  <dcterms:modified xsi:type="dcterms:W3CDTF">2020-04-15T13:44:00Z</dcterms:modified>
</cp:coreProperties>
</file>